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43" w:rsidRDefault="00DF4583" w:rsidP="00EF0E41">
      <w:pPr>
        <w:pStyle w:val="Title"/>
      </w:pPr>
      <w:r>
        <w:t>SummaryTables Version 1.7</w:t>
      </w:r>
      <w:bookmarkStart w:id="0" w:name="_GoBack"/>
      <w:bookmarkEnd w:id="0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7891323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13CEE" w:rsidRDefault="00413CEE">
          <w:pPr>
            <w:pStyle w:val="TOCHeading"/>
          </w:pPr>
          <w:r>
            <w:t>Contents</w:t>
          </w:r>
        </w:p>
        <w:p w:rsidR="00413CEE" w:rsidRDefault="00413CE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1818890" w:history="1">
            <w:r w:rsidRPr="00590025">
              <w:rPr>
                <w:rStyle w:val="Hyperlink"/>
                <w:noProof/>
              </w:rPr>
              <w:t>Function of the SummaryTables Module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_Toc471818890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CD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3CEE" w:rsidRDefault="00DF458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1818891" w:history="1">
            <w:r w:rsidR="00413CEE" w:rsidRPr="00590025">
              <w:rPr>
                <w:rStyle w:val="Hyperlink"/>
                <w:noProof/>
              </w:rPr>
              <w:t>Simulation Setup</w:t>
            </w:r>
            <w:r w:rsidR="00413CEE">
              <w:rPr>
                <w:noProof/>
                <w:webHidden/>
              </w:rPr>
              <w:tab/>
            </w:r>
            <w:r w:rsidR="00413CEE">
              <w:rPr>
                <w:noProof/>
                <w:webHidden/>
              </w:rPr>
              <w:fldChar w:fldCharType="begin"/>
            </w:r>
            <w:r w:rsidR="00413CEE">
              <w:rPr>
                <w:noProof/>
                <w:webHidden/>
              </w:rPr>
              <w:instrText xml:space="preserve"> PAGEREF _Toc471818891 \h </w:instrText>
            </w:r>
            <w:r w:rsidR="00413CEE">
              <w:rPr>
                <w:noProof/>
                <w:webHidden/>
              </w:rPr>
            </w:r>
            <w:r w:rsidR="00413CEE">
              <w:rPr>
                <w:noProof/>
                <w:webHidden/>
              </w:rPr>
              <w:fldChar w:fldCharType="separate"/>
            </w:r>
            <w:r w:rsidR="00530CD6">
              <w:rPr>
                <w:noProof/>
                <w:webHidden/>
              </w:rPr>
              <w:t>2</w:t>
            </w:r>
            <w:r w:rsidR="00413CEE">
              <w:rPr>
                <w:noProof/>
                <w:webHidden/>
              </w:rPr>
              <w:fldChar w:fldCharType="end"/>
            </w:r>
          </w:hyperlink>
        </w:p>
        <w:p w:rsidR="00413CEE" w:rsidRDefault="00DF458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1818892" w:history="1">
            <w:r w:rsidR="00413CEE" w:rsidRPr="00590025">
              <w:rPr>
                <w:rStyle w:val="Hyperlink"/>
                <w:noProof/>
              </w:rPr>
              <w:t>Required Variables by Module</w:t>
            </w:r>
            <w:r w:rsidR="00413CEE">
              <w:rPr>
                <w:noProof/>
                <w:webHidden/>
              </w:rPr>
              <w:tab/>
            </w:r>
            <w:r w:rsidR="00413CEE">
              <w:rPr>
                <w:noProof/>
                <w:webHidden/>
              </w:rPr>
              <w:fldChar w:fldCharType="begin"/>
            </w:r>
            <w:r w:rsidR="00413CEE">
              <w:rPr>
                <w:noProof/>
                <w:webHidden/>
              </w:rPr>
              <w:instrText xml:space="preserve"> PAGEREF _Toc471818892 \h </w:instrText>
            </w:r>
            <w:r w:rsidR="00413CEE">
              <w:rPr>
                <w:noProof/>
                <w:webHidden/>
              </w:rPr>
            </w:r>
            <w:r w:rsidR="00413CEE">
              <w:rPr>
                <w:noProof/>
                <w:webHidden/>
              </w:rPr>
              <w:fldChar w:fldCharType="separate"/>
            </w:r>
            <w:r w:rsidR="00530CD6">
              <w:rPr>
                <w:noProof/>
                <w:webHidden/>
              </w:rPr>
              <w:t>4</w:t>
            </w:r>
            <w:r w:rsidR="00413CEE">
              <w:rPr>
                <w:noProof/>
                <w:webHidden/>
              </w:rPr>
              <w:fldChar w:fldCharType="end"/>
            </w:r>
          </w:hyperlink>
        </w:p>
        <w:p w:rsidR="00413CEE" w:rsidRDefault="00DF458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1818893" w:history="1">
            <w:r w:rsidR="00413CEE" w:rsidRPr="00590025">
              <w:rPr>
                <w:rStyle w:val="Hyperlink"/>
                <w:noProof/>
              </w:rPr>
              <w:t>Unit Definition</w:t>
            </w:r>
            <w:r w:rsidR="00413CEE">
              <w:rPr>
                <w:noProof/>
                <w:webHidden/>
              </w:rPr>
              <w:tab/>
            </w:r>
            <w:r w:rsidR="00413CEE">
              <w:rPr>
                <w:noProof/>
                <w:webHidden/>
              </w:rPr>
              <w:fldChar w:fldCharType="begin"/>
            </w:r>
            <w:r w:rsidR="00413CEE">
              <w:rPr>
                <w:noProof/>
                <w:webHidden/>
              </w:rPr>
              <w:instrText xml:space="preserve"> PAGEREF _Toc471818893 \h </w:instrText>
            </w:r>
            <w:r w:rsidR="00413CEE">
              <w:rPr>
                <w:noProof/>
                <w:webHidden/>
              </w:rPr>
            </w:r>
            <w:r w:rsidR="00413CEE">
              <w:rPr>
                <w:noProof/>
                <w:webHidden/>
              </w:rPr>
              <w:fldChar w:fldCharType="separate"/>
            </w:r>
            <w:r w:rsidR="00530CD6">
              <w:rPr>
                <w:noProof/>
                <w:webHidden/>
              </w:rPr>
              <w:t>4</w:t>
            </w:r>
            <w:r w:rsidR="00413CEE">
              <w:rPr>
                <w:noProof/>
                <w:webHidden/>
              </w:rPr>
              <w:fldChar w:fldCharType="end"/>
            </w:r>
          </w:hyperlink>
        </w:p>
        <w:p w:rsidR="00413CEE" w:rsidRDefault="00DF458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1818894" w:history="1">
            <w:r w:rsidR="00413CEE" w:rsidRPr="00590025">
              <w:rPr>
                <w:rStyle w:val="Hyperlink"/>
                <w:noProof/>
              </w:rPr>
              <w:t>User-specified Program Rules</w:t>
            </w:r>
            <w:r w:rsidR="00413CEE">
              <w:rPr>
                <w:noProof/>
                <w:webHidden/>
              </w:rPr>
              <w:tab/>
            </w:r>
            <w:r w:rsidR="00413CEE">
              <w:rPr>
                <w:noProof/>
                <w:webHidden/>
              </w:rPr>
              <w:fldChar w:fldCharType="begin"/>
            </w:r>
            <w:r w:rsidR="00413CEE">
              <w:rPr>
                <w:noProof/>
                <w:webHidden/>
              </w:rPr>
              <w:instrText xml:space="preserve"> PAGEREF _Toc471818894 \h </w:instrText>
            </w:r>
            <w:r w:rsidR="00413CEE">
              <w:rPr>
                <w:noProof/>
                <w:webHidden/>
              </w:rPr>
            </w:r>
            <w:r w:rsidR="00413CEE">
              <w:rPr>
                <w:noProof/>
                <w:webHidden/>
              </w:rPr>
              <w:fldChar w:fldCharType="separate"/>
            </w:r>
            <w:r w:rsidR="00530CD6">
              <w:rPr>
                <w:noProof/>
                <w:webHidden/>
              </w:rPr>
              <w:t>5</w:t>
            </w:r>
            <w:r w:rsidR="00413CEE">
              <w:rPr>
                <w:noProof/>
                <w:webHidden/>
              </w:rPr>
              <w:fldChar w:fldCharType="end"/>
            </w:r>
          </w:hyperlink>
        </w:p>
        <w:p w:rsidR="00382440" w:rsidRDefault="00413CEE" w:rsidP="00413CEE">
          <w:r>
            <w:rPr>
              <w:b/>
              <w:bCs/>
              <w:noProof/>
            </w:rPr>
            <w:fldChar w:fldCharType="end"/>
          </w:r>
        </w:p>
      </w:sdtContent>
    </w:sdt>
    <w:p w:rsidR="00EF0E41" w:rsidRPr="00EF0E41" w:rsidRDefault="00EF0E41" w:rsidP="00EF0E41">
      <w:pPr>
        <w:pStyle w:val="Heading1"/>
      </w:pPr>
      <w:bookmarkStart w:id="1" w:name="_Toc471818890"/>
      <w:r w:rsidRPr="00EF0E41">
        <w:t xml:space="preserve">Function </w:t>
      </w:r>
      <w:r>
        <w:t>of the SummaryTables Module</w:t>
      </w:r>
      <w:bookmarkEnd w:id="1"/>
    </w:p>
    <w:p w:rsidR="00AD2152" w:rsidRDefault="00E15265" w:rsidP="00E15265">
      <w:r>
        <w:t xml:space="preserve">The SummaryTables module creates a set of </w:t>
      </w:r>
      <w:r w:rsidR="00527808">
        <w:t xml:space="preserve">output </w:t>
      </w:r>
      <w:r>
        <w:t xml:space="preserve">tables that </w:t>
      </w:r>
      <w:r w:rsidR="00527808">
        <w:t>summarize</w:t>
      </w:r>
      <w:r>
        <w:t xml:space="preserve"> results </w:t>
      </w:r>
      <w:r w:rsidR="00527808">
        <w:t>generated by other simulation modules</w:t>
      </w:r>
      <w:r>
        <w:t xml:space="preserve"> </w:t>
      </w:r>
      <w:r w:rsidR="00EF766B">
        <w:t>according to</w:t>
      </w:r>
      <w:r w:rsidR="00527808">
        <w:t xml:space="preserve"> </w:t>
      </w:r>
      <w:r w:rsidR="00164057">
        <w:t xml:space="preserve">a standard set of </w:t>
      </w:r>
      <w:r w:rsidR="00527808">
        <w:t>characteristics</w:t>
      </w:r>
      <w:r>
        <w:t xml:space="preserve"> such as family type, pov</w:t>
      </w:r>
      <w:r w:rsidR="00527808">
        <w:t>erty level, and income decile.</w:t>
      </w:r>
      <w:r w:rsidR="00EF766B">
        <w:t xml:space="preserve"> </w:t>
      </w:r>
      <w:r w:rsidR="00164057">
        <w:t>Analysts</w:t>
      </w:r>
      <w:r>
        <w:t xml:space="preserve"> specify the simulation(s) of interest, and appropriate tables are generated in response to the request</w:t>
      </w:r>
      <w:r w:rsidR="00EF766B">
        <w:t xml:space="preserve">, with no need </w:t>
      </w:r>
      <w:r w:rsidR="00AD2152">
        <w:t xml:space="preserve">for analysts </w:t>
      </w:r>
      <w:r w:rsidR="00EF766B">
        <w:t xml:space="preserve">to specify the variables required </w:t>
      </w:r>
      <w:r w:rsidR="00164057">
        <w:t>by the tables</w:t>
      </w:r>
      <w:r w:rsidR="00AD2152">
        <w:t>.</w:t>
      </w:r>
    </w:p>
    <w:p w:rsidR="00AD2152" w:rsidRDefault="00AD2152" w:rsidP="00E15265"/>
    <w:p w:rsidR="00AD2152" w:rsidRDefault="00E15265" w:rsidP="00E15265">
      <w:pPr>
        <w:rPr>
          <w:szCs w:val="24"/>
        </w:rPr>
      </w:pPr>
      <w:r>
        <w:rPr>
          <w:szCs w:val="24"/>
        </w:rPr>
        <w:t>For example, a</w:t>
      </w:r>
      <w:r w:rsidR="00164057">
        <w:rPr>
          <w:szCs w:val="24"/>
        </w:rPr>
        <w:t>n</w:t>
      </w:r>
      <w:r>
        <w:rPr>
          <w:szCs w:val="24"/>
        </w:rPr>
        <w:t xml:space="preserve"> </w:t>
      </w:r>
      <w:r w:rsidR="00164057">
        <w:t xml:space="preserve">analyst </w:t>
      </w:r>
      <w:r w:rsidR="00AD2152">
        <w:rPr>
          <w:szCs w:val="24"/>
        </w:rPr>
        <w:t>may</w:t>
      </w:r>
      <w:r>
        <w:rPr>
          <w:szCs w:val="24"/>
        </w:rPr>
        <w:t xml:space="preserve"> request results for three different SSI simulations or for an SSI, TANF, and SNAP simulation</w:t>
      </w:r>
      <w:r w:rsidR="00AD2152">
        <w:rPr>
          <w:szCs w:val="24"/>
        </w:rPr>
        <w:t>—up to 16 simulations in total—</w:t>
      </w:r>
      <w:r>
        <w:rPr>
          <w:szCs w:val="24"/>
        </w:rPr>
        <w:t>and</w:t>
      </w:r>
      <w:r w:rsidR="00AD2152">
        <w:rPr>
          <w:szCs w:val="24"/>
        </w:rPr>
        <w:t xml:space="preserve"> </w:t>
      </w:r>
      <w:r>
        <w:rPr>
          <w:szCs w:val="24"/>
        </w:rPr>
        <w:t>table rows and row labe</w:t>
      </w:r>
      <w:r w:rsidR="00164057">
        <w:rPr>
          <w:szCs w:val="24"/>
        </w:rPr>
        <w:t xml:space="preserve">ls are </w:t>
      </w:r>
      <w:r w:rsidR="00AD2152">
        <w:rPr>
          <w:szCs w:val="24"/>
        </w:rPr>
        <w:t xml:space="preserve">automatically </w:t>
      </w:r>
      <w:r w:rsidR="00164057">
        <w:rPr>
          <w:szCs w:val="24"/>
        </w:rPr>
        <w:t xml:space="preserve">generated accordingly. </w:t>
      </w:r>
      <w:r w:rsidR="00AD2152">
        <w:rPr>
          <w:szCs w:val="24"/>
        </w:rPr>
        <w:t xml:space="preserve">The extent and content of the tabular output is variable, depending on the number </w:t>
      </w:r>
      <w:r w:rsidR="00381C75">
        <w:rPr>
          <w:szCs w:val="24"/>
        </w:rPr>
        <w:t xml:space="preserve">and order </w:t>
      </w:r>
      <w:r w:rsidR="00AD2152">
        <w:rPr>
          <w:szCs w:val="24"/>
        </w:rPr>
        <w:t xml:space="preserve">of simulations specified </w:t>
      </w:r>
      <w:r w:rsidR="00381C75">
        <w:rPr>
          <w:szCs w:val="24"/>
        </w:rPr>
        <w:t xml:space="preserve">by </w:t>
      </w:r>
      <w:r w:rsidR="00786FEF">
        <w:rPr>
          <w:szCs w:val="24"/>
        </w:rPr>
        <w:t>an analyst</w:t>
      </w:r>
      <w:r w:rsidR="00381C75">
        <w:rPr>
          <w:szCs w:val="24"/>
        </w:rPr>
        <w:t>.  T</w:t>
      </w:r>
      <w:r w:rsidR="00AD2152">
        <w:rPr>
          <w:szCs w:val="24"/>
        </w:rPr>
        <w:t>he SummaryTables module automatically generates output that conforms to an analyst</w:t>
      </w:r>
      <w:r w:rsidR="0027046C">
        <w:rPr>
          <w:szCs w:val="24"/>
        </w:rPr>
        <w:t>’</w:t>
      </w:r>
      <w:r w:rsidR="00AD2152">
        <w:rPr>
          <w:szCs w:val="24"/>
        </w:rPr>
        <w:t xml:space="preserve">s selections rather than being based on </w:t>
      </w:r>
      <w:r w:rsidR="0027046C">
        <w:rPr>
          <w:szCs w:val="24"/>
        </w:rPr>
        <w:t xml:space="preserve">a set of </w:t>
      </w:r>
      <w:r w:rsidR="00381C75">
        <w:rPr>
          <w:szCs w:val="24"/>
        </w:rPr>
        <w:t xml:space="preserve">predefined </w:t>
      </w:r>
      <w:r w:rsidR="00AD2152">
        <w:rPr>
          <w:szCs w:val="24"/>
        </w:rPr>
        <w:t>table templates</w:t>
      </w:r>
      <w:r w:rsidR="0027046C">
        <w:rPr>
          <w:szCs w:val="24"/>
        </w:rPr>
        <w:t xml:space="preserve"> such as those</w:t>
      </w:r>
      <w:r w:rsidR="00AD2152">
        <w:rPr>
          <w:szCs w:val="24"/>
        </w:rPr>
        <w:t xml:space="preserve"> </w:t>
      </w:r>
      <w:r w:rsidR="00381C75">
        <w:rPr>
          <w:szCs w:val="24"/>
        </w:rPr>
        <w:t>that are used for</w:t>
      </w:r>
      <w:r w:rsidR="00AD2152">
        <w:rPr>
          <w:szCs w:val="24"/>
        </w:rPr>
        <w:t xml:space="preserve"> all other TRIM3 simulation modules.</w:t>
      </w:r>
    </w:p>
    <w:p w:rsidR="00AD2152" w:rsidRDefault="00AD2152" w:rsidP="00E15265">
      <w:pPr>
        <w:rPr>
          <w:szCs w:val="24"/>
        </w:rPr>
      </w:pPr>
    </w:p>
    <w:p w:rsidR="00E15265" w:rsidRDefault="00164057" w:rsidP="00E15265">
      <w:pPr>
        <w:rPr>
          <w:szCs w:val="24"/>
        </w:rPr>
      </w:pPr>
      <w:r>
        <w:rPr>
          <w:szCs w:val="24"/>
        </w:rPr>
        <w:t xml:space="preserve">An analyst </w:t>
      </w:r>
      <w:r w:rsidR="00E15265">
        <w:rPr>
          <w:szCs w:val="24"/>
        </w:rPr>
        <w:t>also</w:t>
      </w:r>
      <w:r w:rsidR="008C7749">
        <w:rPr>
          <w:szCs w:val="24"/>
        </w:rPr>
        <w:t xml:space="preserve"> has the option of specifying </w:t>
      </w:r>
      <w:r w:rsidR="00E15265">
        <w:rPr>
          <w:szCs w:val="24"/>
        </w:rPr>
        <w:t>“comparison” simulation</w:t>
      </w:r>
      <w:r w:rsidR="008C7749">
        <w:rPr>
          <w:szCs w:val="24"/>
        </w:rPr>
        <w:t>s</w:t>
      </w:r>
      <w:r w:rsidR="00E15265">
        <w:rPr>
          <w:szCs w:val="24"/>
        </w:rPr>
        <w:t xml:space="preserve"> for each of the </w:t>
      </w:r>
      <w:r>
        <w:rPr>
          <w:szCs w:val="24"/>
        </w:rPr>
        <w:t>“baseline”</w:t>
      </w:r>
      <w:r w:rsidR="00E15265">
        <w:rPr>
          <w:szCs w:val="24"/>
        </w:rPr>
        <w:t xml:space="preserve"> simulations</w:t>
      </w:r>
      <w:r>
        <w:rPr>
          <w:szCs w:val="24"/>
        </w:rPr>
        <w:t xml:space="preserve"> that have been specified</w:t>
      </w:r>
      <w:r w:rsidR="00E15265">
        <w:rPr>
          <w:szCs w:val="24"/>
        </w:rPr>
        <w:t xml:space="preserve">. </w:t>
      </w:r>
      <w:r>
        <w:rPr>
          <w:szCs w:val="24"/>
        </w:rPr>
        <w:t>When that option is chosen, a</w:t>
      </w:r>
      <w:r w:rsidR="00E15265">
        <w:rPr>
          <w:szCs w:val="24"/>
        </w:rPr>
        <w:t xml:space="preserve">dditional tables </w:t>
      </w:r>
      <w:r>
        <w:rPr>
          <w:szCs w:val="24"/>
        </w:rPr>
        <w:t xml:space="preserve">are produced that </w:t>
      </w:r>
      <w:r w:rsidR="00E15265">
        <w:rPr>
          <w:szCs w:val="24"/>
        </w:rPr>
        <w:t>show the results of the comparison simulation</w:t>
      </w:r>
      <w:r>
        <w:rPr>
          <w:szCs w:val="24"/>
        </w:rPr>
        <w:t>(s)</w:t>
      </w:r>
      <w:r w:rsidR="00E15265">
        <w:rPr>
          <w:szCs w:val="24"/>
        </w:rPr>
        <w:t xml:space="preserve"> and the change and percentage change </w:t>
      </w:r>
      <w:r>
        <w:rPr>
          <w:szCs w:val="24"/>
        </w:rPr>
        <w:t>from the baseline simulation(s)</w:t>
      </w:r>
      <w:r w:rsidR="00E15265">
        <w:rPr>
          <w:szCs w:val="24"/>
        </w:rPr>
        <w:t>.</w:t>
      </w:r>
    </w:p>
    <w:p w:rsidR="00E15265" w:rsidRDefault="00E15265" w:rsidP="00E15265">
      <w:pPr>
        <w:rPr>
          <w:szCs w:val="24"/>
        </w:rPr>
      </w:pPr>
    </w:p>
    <w:p w:rsidR="00E15265" w:rsidRDefault="00E15265" w:rsidP="00E15265">
      <w:pPr>
        <w:rPr>
          <w:szCs w:val="24"/>
        </w:rPr>
      </w:pPr>
      <w:r>
        <w:rPr>
          <w:szCs w:val="24"/>
        </w:rPr>
        <w:t xml:space="preserve">The </w:t>
      </w:r>
      <w:r w:rsidR="008C7749">
        <w:rPr>
          <w:szCs w:val="24"/>
        </w:rPr>
        <w:t xml:space="preserve">SummaryTables </w:t>
      </w:r>
      <w:r>
        <w:rPr>
          <w:szCs w:val="24"/>
        </w:rPr>
        <w:t xml:space="preserve">module </w:t>
      </w:r>
      <w:r w:rsidR="00786FEF">
        <w:rPr>
          <w:szCs w:val="24"/>
        </w:rPr>
        <w:t>generates</w:t>
      </w:r>
      <w:r>
        <w:rPr>
          <w:szCs w:val="24"/>
        </w:rPr>
        <w:t xml:space="preserve"> summary </w:t>
      </w:r>
      <w:r w:rsidR="00786FEF">
        <w:rPr>
          <w:szCs w:val="24"/>
        </w:rPr>
        <w:t>tabulations</w:t>
      </w:r>
      <w:r>
        <w:rPr>
          <w:szCs w:val="24"/>
        </w:rPr>
        <w:t xml:space="preserve"> for the following </w:t>
      </w:r>
      <w:r w:rsidR="00786FEF">
        <w:rPr>
          <w:szCs w:val="24"/>
        </w:rPr>
        <w:t xml:space="preserve">14 </w:t>
      </w:r>
      <w:r>
        <w:rPr>
          <w:szCs w:val="24"/>
        </w:rPr>
        <w:t>simulations:  Child Support, Unemployment Compensation, SSI, Child Care, TANF, SNAP, Public or Subsidized Housing, Medicaid, WIC, LIHEAP, School Meals, Payroll Tax, Federal Tax and State Tax.</w:t>
      </w:r>
      <w:r w:rsidR="00A86478">
        <w:rPr>
          <w:szCs w:val="24"/>
        </w:rPr>
        <w:t xml:space="preserve"> </w:t>
      </w:r>
      <w:r w:rsidR="00A86478">
        <w:t>The fact that analysts do not have to specify the</w:t>
      </w:r>
      <w:r w:rsidR="00A86478">
        <w:rPr>
          <w:szCs w:val="24"/>
        </w:rPr>
        <w:t xml:space="preserve"> variables that are used as input to the Summary Tables module means that the setup of a SummaryTables simulation </w:t>
      </w:r>
      <w:r w:rsidR="00786FEF">
        <w:rPr>
          <w:szCs w:val="24"/>
        </w:rPr>
        <w:t>differs</w:t>
      </w:r>
      <w:r w:rsidR="00A86478">
        <w:rPr>
          <w:szCs w:val="24"/>
        </w:rPr>
        <w:t xml:space="preserve"> from that of any other TRIM3 module. Details about simulation setup are provided in the following section.</w:t>
      </w:r>
    </w:p>
    <w:p w:rsidR="00EF0E41" w:rsidRDefault="00EF0E41" w:rsidP="00EF0E41">
      <w:pPr>
        <w:pStyle w:val="Heading1"/>
      </w:pPr>
      <w:bookmarkStart w:id="2" w:name="_Toc471818891"/>
      <w:r>
        <w:lastRenderedPageBreak/>
        <w:t>Simulation Setup</w:t>
      </w:r>
      <w:bookmarkEnd w:id="2"/>
    </w:p>
    <w:p w:rsidR="003609A6" w:rsidRDefault="003609A6">
      <w:r>
        <w:t xml:space="preserve">The </w:t>
      </w:r>
      <w:r w:rsidR="00EF0E41">
        <w:t>creation</w:t>
      </w:r>
      <w:r>
        <w:t xml:space="preserve"> of a SummaryTables </w:t>
      </w:r>
      <w:r w:rsidR="00EF0E41">
        <w:t>setup</w:t>
      </w:r>
      <w:r>
        <w:t xml:space="preserve"> is very different from that of any other TRIM3 </w:t>
      </w:r>
      <w:r w:rsidR="00EF0E41">
        <w:t>module</w:t>
      </w:r>
      <w:r>
        <w:t xml:space="preserve">, though the initial setup steps are the same. As with all other </w:t>
      </w:r>
      <w:r w:rsidR="00EF0E41">
        <w:t>modules</w:t>
      </w:r>
      <w:r>
        <w:t xml:space="preserve">, a </w:t>
      </w:r>
      <w:r w:rsidR="00EF0E41">
        <w:t xml:space="preserve">new simulation is created by copying </w:t>
      </w:r>
      <w:r>
        <w:t xml:space="preserve">an existing setup, specifying </w:t>
      </w:r>
      <w:r w:rsidR="00EF0E41">
        <w:t xml:space="preserve">a unique </w:t>
      </w:r>
      <w:r>
        <w:t xml:space="preserve">RunID and the year of data to be </w:t>
      </w:r>
      <w:r w:rsidR="00EF0E41">
        <w:t>used as input</w:t>
      </w:r>
      <w:r>
        <w:t xml:space="preserve">, </w:t>
      </w:r>
      <w:r w:rsidR="00EF0E41">
        <w:t>as well as</w:t>
      </w:r>
      <w:r>
        <w:t xml:space="preserve"> </w:t>
      </w:r>
      <w:r w:rsidR="00EF0E41">
        <w:t xml:space="preserve">the </w:t>
      </w:r>
      <w:r>
        <w:t xml:space="preserve">other options that are available with every simulation—e.g., number of households </w:t>
      </w:r>
      <w:r w:rsidR="00EF0E41">
        <w:t xml:space="preserve">to be </w:t>
      </w:r>
      <w:r w:rsidR="00786FEF">
        <w:t xml:space="preserve">processed, </w:t>
      </w:r>
      <w:r>
        <w:t>whether micro-results are to be written to the TRIM3 database</w:t>
      </w:r>
      <w:r w:rsidR="00786FEF">
        <w:t>,</w:t>
      </w:r>
      <w:r w:rsidR="00452B2E">
        <w:t xml:space="preserve"> and the selection of </w:t>
      </w:r>
      <w:r w:rsidR="008C7749">
        <w:t>results variables</w:t>
      </w:r>
      <w:r w:rsidR="00452B2E">
        <w:t xml:space="preserve"> if micro-results are to be generated</w:t>
      </w:r>
      <w:r>
        <w:t>. After those steps are completed, the setup of a SummaryTables simulation diverges</w:t>
      </w:r>
      <w:r w:rsidR="00EF0E41">
        <w:t xml:space="preserve"> from that of other modules</w:t>
      </w:r>
      <w:r>
        <w:t>.</w:t>
      </w:r>
    </w:p>
    <w:p w:rsidR="003609A6" w:rsidRDefault="003609A6"/>
    <w:p w:rsidR="003609A6" w:rsidRDefault="008C7749">
      <w:r>
        <w:t>In</w:t>
      </w:r>
      <w:r w:rsidR="00EF0E41">
        <w:t xml:space="preserve"> the SummaryTables module, </w:t>
      </w:r>
      <w:r>
        <w:t xml:space="preserve">most </w:t>
      </w:r>
      <w:r w:rsidR="00EF0E41">
        <w:t xml:space="preserve">program rules are automatically populated based on the </w:t>
      </w:r>
      <w:r w:rsidR="00825369">
        <w:t xml:space="preserve">SimulationIDs that a user specifies as the source of </w:t>
      </w:r>
      <w:r w:rsidR="007208E6">
        <w:t xml:space="preserve">the </w:t>
      </w:r>
      <w:r w:rsidR="00786FEF">
        <w:t>tabulations</w:t>
      </w:r>
      <w:r w:rsidR="00825369">
        <w:t>.</w:t>
      </w:r>
      <w:r w:rsidR="00EF0E41">
        <w:t xml:space="preserve"> </w:t>
      </w:r>
      <w:r w:rsidR="00452B2E">
        <w:t>While</w:t>
      </w:r>
      <w:r w:rsidR="00EF0E41">
        <w:t xml:space="preserve"> </w:t>
      </w:r>
      <w:r>
        <w:t xml:space="preserve">all </w:t>
      </w:r>
      <w:r w:rsidR="00EF0E41">
        <w:t>program rules are visible</w:t>
      </w:r>
      <w:r w:rsidR="00825369">
        <w:t xml:space="preserve"> via the interface</w:t>
      </w:r>
      <w:r w:rsidR="00452B2E">
        <w:t xml:space="preserve">, </w:t>
      </w:r>
      <w:r>
        <w:t>the program rules in the “Simulation Selection” category</w:t>
      </w:r>
      <w:r w:rsidR="00452B2E">
        <w:t xml:space="preserve"> </w:t>
      </w:r>
      <w:r w:rsidR="00EF0E41">
        <w:t xml:space="preserve">should generally not be </w:t>
      </w:r>
      <w:r w:rsidR="008D3E59">
        <w:t xml:space="preserve">manually </w:t>
      </w:r>
      <w:r w:rsidR="00EF0E41">
        <w:t>altered.</w:t>
      </w:r>
      <w:r w:rsidR="00825369">
        <w:t xml:space="preserve"> Instead, a user selects only the input data sources, and the module automatically selects the variables that it needs for the tabulations </w:t>
      </w:r>
      <w:r w:rsidR="008D3E59">
        <w:t>it</w:t>
      </w:r>
      <w:r w:rsidR="00825369">
        <w:t xml:space="preserve"> produces.  Of course, if the </w:t>
      </w:r>
      <w:r w:rsidR="007208E6">
        <w:t xml:space="preserve">required </w:t>
      </w:r>
      <w:r w:rsidR="00825369">
        <w:t xml:space="preserve">variables have not been generated by the simulations a user </w:t>
      </w:r>
      <w:r w:rsidR="008D3E59">
        <w:t>selects</w:t>
      </w:r>
      <w:r w:rsidR="00825369">
        <w:t>, an error will occur</w:t>
      </w:r>
      <w:r w:rsidR="007208E6">
        <w:t xml:space="preserve"> and the simulation will abort</w:t>
      </w:r>
      <w:r w:rsidR="00825369">
        <w:t xml:space="preserve">.  Required variables for each simulation module are shown </w:t>
      </w:r>
      <w:hyperlink w:anchor="_Required_Variables_by" w:history="1">
        <w:r w:rsidR="00786FEF" w:rsidRPr="00786FEF">
          <w:rPr>
            <w:rStyle w:val="Hyperlink"/>
          </w:rPr>
          <w:t>here</w:t>
        </w:r>
      </w:hyperlink>
      <w:r w:rsidR="00825369">
        <w:t>.</w:t>
      </w:r>
    </w:p>
    <w:p w:rsidR="00933CF8" w:rsidRDefault="00933CF8"/>
    <w:p w:rsidR="00933CF8" w:rsidRDefault="00933CF8">
      <w:r>
        <w:t xml:space="preserve">To specify the </w:t>
      </w:r>
      <w:r w:rsidR="008D3E59">
        <w:t>simulations to be summarized by</w:t>
      </w:r>
      <w:r>
        <w:t xml:space="preserve"> SummaryTables, analysts should select the “Change Inputs” option from the main TRIM3 simulation run/setup page.</w:t>
      </w:r>
      <w:r w:rsidR="0001478E">
        <w:t xml:space="preserve">  On the next screen, click “</w:t>
      </w:r>
      <w:r w:rsidR="005978DD">
        <w:t>Set up SummaryTable inputs</w:t>
      </w:r>
      <w:r w:rsidR="0001478E">
        <w:t>”</w:t>
      </w:r>
      <w:r w:rsidR="005978DD">
        <w:t xml:space="preserve"> to bring up a screen that looks like the following.</w:t>
      </w:r>
    </w:p>
    <w:p w:rsidR="0001478E" w:rsidRDefault="0001478E"/>
    <w:p w:rsidR="0001478E" w:rsidRDefault="0001478E">
      <w:r>
        <w:rPr>
          <w:noProof/>
        </w:rPr>
        <w:lastRenderedPageBreak/>
        <w:drawing>
          <wp:inline distT="0" distB="0" distL="0" distR="0" wp14:anchorId="7266951F" wp14:editId="6473CDA8">
            <wp:extent cx="5931535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69" w:rsidRDefault="00825369"/>
    <w:p w:rsidR="005978DD" w:rsidRDefault="00960339">
      <w:r>
        <w:t>In column 1, s</w:t>
      </w:r>
      <w:r w:rsidR="005978DD">
        <w:t xml:space="preserve">elect the “owner” of the first simulation whose results you want to summarize.  Once you do, </w:t>
      </w:r>
      <w:r w:rsidR="00C105D8">
        <w:t xml:space="preserve">all run setups with micro-data in the TRIM3 database for the person </w:t>
      </w:r>
      <w:r w:rsidR="00C177D4">
        <w:t>you have selected in the year of</w:t>
      </w:r>
      <w:r>
        <w:t xml:space="preserve"> your current run setup</w:t>
      </w:r>
      <w:r w:rsidR="00C105D8">
        <w:t xml:space="preserve"> </w:t>
      </w:r>
      <w:r>
        <w:t xml:space="preserve">will be listed. </w:t>
      </w:r>
      <w:r w:rsidR="00C105D8">
        <w:t>Y</w:t>
      </w:r>
      <w:r w:rsidR="005978DD">
        <w:t xml:space="preserve">ou will be able to select </w:t>
      </w:r>
      <w:r>
        <w:t xml:space="preserve">from that list </w:t>
      </w:r>
      <w:r w:rsidR="005978DD">
        <w:t xml:space="preserve">the </w:t>
      </w:r>
      <w:r w:rsidR="00C105D8">
        <w:t>run</w:t>
      </w:r>
      <w:r w:rsidR="00C6161E">
        <w:t>,</w:t>
      </w:r>
      <w:r w:rsidR="00C177D4">
        <w:t xml:space="preserve"> and the</w:t>
      </w:r>
      <w:r w:rsidR="00C105D8">
        <w:t xml:space="preserve"> simulation within that run, </w:t>
      </w:r>
      <w:r>
        <w:t>whose results you want to summarize</w:t>
      </w:r>
      <w:r w:rsidR="00F13830">
        <w:t>.</w:t>
      </w:r>
    </w:p>
    <w:p w:rsidR="00C6161E" w:rsidRDefault="00C6161E"/>
    <w:p w:rsidR="00C6161E" w:rsidRDefault="00C6161E" w:rsidP="00C6161E">
      <w:r>
        <w:t>If the simulations you want to either summarize or compare are in a multi-simulation run setup(s), then you can uncheck the box at the top of the page, select the multi-run setup, and the interface will automatically fill the boxes with each of the simulations that are in the multi-run setup you specified that have micro-results.</w:t>
      </w:r>
    </w:p>
    <w:p w:rsidR="00F13830" w:rsidRDefault="00F13830"/>
    <w:p w:rsidR="00F13830" w:rsidRDefault="00F13830">
      <w:r>
        <w:t xml:space="preserve">When your first column 1 “baseline” selection has been made, you </w:t>
      </w:r>
      <w:r w:rsidR="00960339">
        <w:t xml:space="preserve">will see that the simulation interface </w:t>
      </w:r>
      <w:r w:rsidR="00C6161E">
        <w:t>makes available</w:t>
      </w:r>
      <w:r w:rsidR="00960339">
        <w:t xml:space="preserve"> the same selection options </w:t>
      </w:r>
      <w:r w:rsidR="00F84C86">
        <w:t>for</w:t>
      </w:r>
      <w:r w:rsidR="00960339">
        <w:t xml:space="preserve"> column 2</w:t>
      </w:r>
      <w:r w:rsidR="00C177D4">
        <w:t xml:space="preserve">, where “alternative” simulations are </w:t>
      </w:r>
      <w:r w:rsidR="0049762B">
        <w:t>chosen</w:t>
      </w:r>
      <w:r w:rsidR="00960339">
        <w:t>.  If you want to compare</w:t>
      </w:r>
      <w:r w:rsidR="00C177D4">
        <w:t xml:space="preserve"> a simulation with one in column 1, then select another </w:t>
      </w:r>
      <w:r w:rsidR="00960339">
        <w:t>simulation</w:t>
      </w:r>
      <w:r w:rsidR="00F84C86">
        <w:t xml:space="preserve"> of the same simulation type (e.g. TANF or SSI)</w:t>
      </w:r>
      <w:r w:rsidR="00960339">
        <w:t xml:space="preserve"> in column 2</w:t>
      </w:r>
      <w:r w:rsidR="00C177D4">
        <w:t xml:space="preserve"> </w:t>
      </w:r>
      <w:r w:rsidR="0049762B">
        <w:t>of</w:t>
      </w:r>
      <w:r w:rsidR="00C177D4">
        <w:t xml:space="preserve"> the same row</w:t>
      </w:r>
      <w:r w:rsidR="00960339">
        <w:t xml:space="preserve">.  </w:t>
      </w:r>
      <w:r w:rsidR="00C177D4">
        <w:t xml:space="preserve">If you specify a comparison simulation(s), </w:t>
      </w:r>
      <w:r w:rsidR="00960339">
        <w:t xml:space="preserve">SummaryTables </w:t>
      </w:r>
      <w:r w:rsidR="00F547BA">
        <w:t xml:space="preserve">will produce </w:t>
      </w:r>
      <w:r w:rsidR="00C177D4">
        <w:t>tables</w:t>
      </w:r>
      <w:r w:rsidR="00F547BA">
        <w:t xml:space="preserve"> comparing column 2 results with those from column 1; otherwise, only summary tables for column 1 simulations will be generated.</w:t>
      </w:r>
    </w:p>
    <w:p w:rsidR="00825369" w:rsidRDefault="001330AC" w:rsidP="001330AC">
      <w:pPr>
        <w:pStyle w:val="Heading1"/>
      </w:pPr>
      <w:bookmarkStart w:id="3" w:name="_Required_Variables_by"/>
      <w:bookmarkStart w:id="4" w:name="_Toc471818892"/>
      <w:bookmarkEnd w:id="3"/>
      <w:r>
        <w:lastRenderedPageBreak/>
        <w:t>Required Variables by Module</w:t>
      </w:r>
      <w:bookmarkEnd w:id="4"/>
    </w:p>
    <w:p w:rsidR="007D7518" w:rsidRDefault="007D7518" w:rsidP="007D7518">
      <w:r>
        <w:t>The</w:t>
      </w:r>
      <w:r w:rsidR="000A3067">
        <w:t xml:space="preserve"> </w:t>
      </w:r>
      <w:r w:rsidR="00BC4932">
        <w:t xml:space="preserve">table shown below indicates the required results variables that must be </w:t>
      </w:r>
      <w:r w:rsidR="00505487">
        <w:t xml:space="preserve">available </w:t>
      </w:r>
      <w:r w:rsidR="004B3600">
        <w:t>in the micro-data of</w:t>
      </w:r>
      <w:r w:rsidR="00505487">
        <w:t xml:space="preserve"> the simulations </w:t>
      </w:r>
      <w:r w:rsidR="004B3600">
        <w:t>an analyst</w:t>
      </w:r>
      <w:r w:rsidR="00505487">
        <w:t xml:space="preserve"> </w:t>
      </w:r>
      <w:r w:rsidR="004B3600">
        <w:t xml:space="preserve">selects for </w:t>
      </w:r>
      <w:r w:rsidR="00BC4932">
        <w:t xml:space="preserve">SummaryTables </w:t>
      </w:r>
      <w:r w:rsidR="004B3600">
        <w:t>tabulations</w:t>
      </w:r>
      <w:r w:rsidR="00BC4932">
        <w:t>.</w:t>
      </w:r>
    </w:p>
    <w:p w:rsidR="00BC4932" w:rsidRPr="007D7518" w:rsidRDefault="00BC4932" w:rsidP="007D7518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150"/>
        <w:gridCol w:w="5940"/>
      </w:tblGrid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ChildCare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ChildCareSubsidy, ChildCareExpense, IsFamilyEligible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ChildSupport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MonthlyCSIncomeOfChild, MonthlyCSInHhsWithoutKids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Liheap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LiheapEligibility, LiheapBenefitRcvd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FederalTax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Tax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PubOrSubsidizedHousing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MonthlySubsidyReceivePerPerson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Medicaid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EnrollmentType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PayrollTax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WorkerFedRetireTax, WorkerOASDHI, SelfEmpOASDHI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FoodStamps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BenefitsReceived, BenefitsEligibleFor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SSI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MonthlySSIBenefitsRcvd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StateTax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StateTax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TANF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BenefitsReceived, BenefitsEli</w:t>
            </w:r>
            <w:r w:rsidR="00C638D9">
              <w:t>g</w:t>
            </w:r>
            <w:r w:rsidRPr="0027046C">
              <w:t>ibleFor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UnemploymentCompensation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MonthlyUnemploymentComp</w:t>
            </w:r>
          </w:p>
        </w:tc>
      </w:tr>
      <w:tr w:rsidR="0027046C" w:rsidRP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WIC</w:t>
            </w:r>
          </w:p>
        </w:tc>
        <w:tc>
          <w:tcPr>
            <w:tcW w:w="5940" w:type="dxa"/>
          </w:tcPr>
          <w:p w:rsidR="0027046C" w:rsidRPr="0027046C" w:rsidRDefault="0027046C" w:rsidP="00BB081B">
            <w:r w:rsidRPr="0027046C">
              <w:t>MonthlyWICBenefitRcvd</w:t>
            </w:r>
          </w:p>
        </w:tc>
      </w:tr>
      <w:tr w:rsidR="0027046C" w:rsidTr="00937474">
        <w:tc>
          <w:tcPr>
            <w:tcW w:w="3150" w:type="dxa"/>
          </w:tcPr>
          <w:p w:rsidR="0027046C" w:rsidRPr="0027046C" w:rsidRDefault="0027046C" w:rsidP="00BB081B">
            <w:r w:rsidRPr="0027046C">
              <w:t>SchoolMeals</w:t>
            </w:r>
          </w:p>
        </w:tc>
        <w:tc>
          <w:tcPr>
            <w:tcW w:w="5940" w:type="dxa"/>
          </w:tcPr>
          <w:p w:rsidR="0027046C" w:rsidRDefault="0027046C" w:rsidP="00BB081B">
            <w:r w:rsidRPr="0027046C">
              <w:t>MonthlyRcvdSchoolMealSubsidies, MonthlyEligSchoolMealSubsidies</w:t>
            </w:r>
          </w:p>
        </w:tc>
      </w:tr>
    </w:tbl>
    <w:p w:rsidR="007D7518" w:rsidRDefault="007D7518" w:rsidP="007D7518"/>
    <w:p w:rsidR="00C37F69" w:rsidRDefault="007F133A" w:rsidP="007F133A">
      <w:pPr>
        <w:pStyle w:val="Heading1"/>
      </w:pPr>
      <w:bookmarkStart w:id="5" w:name="_Toc471818893"/>
      <w:r>
        <w:t>Unit Definition</w:t>
      </w:r>
      <w:bookmarkEnd w:id="5"/>
    </w:p>
    <w:p w:rsidR="008F79E3" w:rsidRDefault="00866F3A" w:rsidP="00866F3A">
      <w:r>
        <w:t xml:space="preserve">One question that faced analysts when designing the SummaryTables module was how to deal with </w:t>
      </w:r>
      <w:r w:rsidR="006974AC">
        <w:t xml:space="preserve">all </w:t>
      </w:r>
      <w:r>
        <w:t xml:space="preserve">the </w:t>
      </w:r>
      <w:r w:rsidR="006974AC">
        <w:t>different</w:t>
      </w:r>
      <w:r>
        <w:t xml:space="preserve"> unit definitions in the simulations that the module summarizes</w:t>
      </w:r>
      <w:r w:rsidR="006974AC">
        <w:t>. As an example</w:t>
      </w:r>
      <w:r>
        <w:t xml:space="preserve">, </w:t>
      </w:r>
      <w:r w:rsidR="006974AC">
        <w:t>the SNAP unit may be a</w:t>
      </w:r>
      <w:r>
        <w:t xml:space="preserve"> household</w:t>
      </w:r>
      <w:r w:rsidR="006974AC">
        <w:t xml:space="preserve"> unit or a modified household unit, </w:t>
      </w:r>
      <w:r>
        <w:t>whereas the child care unit is typically the narrow family or a</w:t>
      </w:r>
      <w:r w:rsidR="006974AC">
        <w:t xml:space="preserve"> modified unit </w:t>
      </w:r>
      <w:r w:rsidR="005E3129">
        <w:t>in which</w:t>
      </w:r>
      <w:r w:rsidR="006974AC">
        <w:t xml:space="preserve"> two or more narrow family units </w:t>
      </w:r>
      <w:r w:rsidR="005E3129">
        <w:t xml:space="preserve">have been merged </w:t>
      </w:r>
      <w:r w:rsidR="006974AC">
        <w:t>into one.</w:t>
      </w:r>
      <w:r>
        <w:t xml:space="preserve">  </w:t>
      </w:r>
      <w:r w:rsidR="006974AC">
        <w:t>The tax modules define</w:t>
      </w:r>
      <w:r>
        <w:t xml:space="preserve"> units in unique ways, consistent with tax laws.</w:t>
      </w:r>
      <w:r w:rsidR="006974AC">
        <w:t xml:space="preserve"> The resolution was to reduce all simulated information to the person-level and then </w:t>
      </w:r>
      <w:r w:rsidR="008F79E3">
        <w:t>form</w:t>
      </w:r>
      <w:r w:rsidR="006974AC">
        <w:t xml:space="preserve"> either “narrow”</w:t>
      </w:r>
      <w:r w:rsidR="005E3129">
        <w:rPr>
          <w:rStyle w:val="FootnoteReference"/>
        </w:rPr>
        <w:footnoteReference w:id="1"/>
      </w:r>
      <w:r w:rsidR="006974AC">
        <w:t xml:space="preserve"> or “broad”</w:t>
      </w:r>
      <w:r w:rsidR="005E3129">
        <w:rPr>
          <w:rStyle w:val="FootnoteReference"/>
        </w:rPr>
        <w:footnoteReference w:id="2"/>
      </w:r>
      <w:r w:rsidR="008F79E3">
        <w:t xml:space="preserve"> family units as defined by</w:t>
      </w:r>
      <w:r w:rsidR="006974AC">
        <w:t xml:space="preserve"> TRIM3 variables </w:t>
      </w:r>
      <w:r w:rsidR="006974AC" w:rsidRPr="006974AC">
        <w:rPr>
          <w:i/>
        </w:rPr>
        <w:t>FamilySubfamiliesSeparate</w:t>
      </w:r>
      <w:r w:rsidR="006974AC">
        <w:t xml:space="preserve"> and </w:t>
      </w:r>
      <w:r w:rsidR="006974AC" w:rsidRPr="006974AC">
        <w:rPr>
          <w:i/>
        </w:rPr>
        <w:t>FamilyWithSubfamilies</w:t>
      </w:r>
      <w:r w:rsidR="008F79E3">
        <w:rPr>
          <w:i/>
        </w:rPr>
        <w:t xml:space="preserve"> </w:t>
      </w:r>
      <w:r w:rsidR="008F79E3">
        <w:t>for the purpose of the summary tabulations</w:t>
      </w:r>
      <w:r w:rsidR="006974AC">
        <w:t xml:space="preserve">. SummaryTables program rule </w:t>
      </w:r>
      <w:r w:rsidR="006974AC" w:rsidRPr="006974AC">
        <w:rPr>
          <w:i/>
        </w:rPr>
        <w:t>FamilyType</w:t>
      </w:r>
      <w:r w:rsidR="006974AC">
        <w:t xml:space="preserve"> provides analysts with the ability to use either definition for the tables that</w:t>
      </w:r>
      <w:r w:rsidR="00AF5306">
        <w:t xml:space="preserve"> are generated.</w:t>
      </w:r>
    </w:p>
    <w:p w:rsidR="00AF5306" w:rsidRDefault="00AF5306" w:rsidP="00866F3A"/>
    <w:p w:rsidR="00AF5306" w:rsidRDefault="00AF5306" w:rsidP="00866F3A">
      <w:r>
        <w:t xml:space="preserve">Another rule, </w:t>
      </w:r>
      <w:r w:rsidRPr="00AF5306">
        <w:rPr>
          <w:i/>
        </w:rPr>
        <w:t>CohabitingAdultOption</w:t>
      </w:r>
      <w:r>
        <w:t xml:space="preserve">, provides analysts with the option of combining the families of cohabiting adults when both are </w:t>
      </w:r>
      <w:r w:rsidR="00145EB0">
        <w:t xml:space="preserve">biological </w:t>
      </w:r>
      <w:r>
        <w:t xml:space="preserve">parents of a minor child in </w:t>
      </w:r>
      <w:r w:rsidR="005142C3">
        <w:t>the household</w:t>
      </w:r>
      <w:r w:rsidR="009D169B">
        <w:t xml:space="preserve">. If an analyst chooses to combine </w:t>
      </w:r>
      <w:r>
        <w:t xml:space="preserve">families </w:t>
      </w:r>
      <w:r w:rsidR="009D169B">
        <w:t>of cohabiting parents,</w:t>
      </w:r>
      <w:r>
        <w:t xml:space="preserve"> then </w:t>
      </w:r>
      <w:r w:rsidR="009D169B">
        <w:t xml:space="preserve">variables that identify the parents </w:t>
      </w:r>
      <w:r>
        <w:t xml:space="preserve">must be </w:t>
      </w:r>
      <w:r w:rsidR="005142C3">
        <w:t>provided for</w:t>
      </w:r>
      <w:r>
        <w:t xml:space="preserve"> the </w:t>
      </w:r>
      <w:r w:rsidRPr="00AF5306">
        <w:rPr>
          <w:i/>
        </w:rPr>
        <w:t>ParentIDs</w:t>
      </w:r>
      <w:r>
        <w:t xml:space="preserve"> program rule.</w:t>
      </w:r>
    </w:p>
    <w:p w:rsidR="004003FC" w:rsidRDefault="00413CEE" w:rsidP="004003FC">
      <w:pPr>
        <w:pStyle w:val="Heading1"/>
      </w:pPr>
      <w:bookmarkStart w:id="6" w:name="_Toc471818894"/>
      <w:r>
        <w:lastRenderedPageBreak/>
        <w:t>User-specified</w:t>
      </w:r>
      <w:r w:rsidR="004003FC">
        <w:t xml:space="preserve"> Program Rules</w:t>
      </w:r>
      <w:bookmarkEnd w:id="6"/>
    </w:p>
    <w:p w:rsidR="004003FC" w:rsidRPr="00165F7F" w:rsidRDefault="00165F7F" w:rsidP="004003F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SummaryTables module has few rules that are specified by users, but in addition to the rules that determine how families are defined, two additional rules that analysts </w:t>
      </w:r>
      <w:r w:rsidR="00F65A1D">
        <w:rPr>
          <w:rFonts w:cs="Times New Roman"/>
          <w:szCs w:val="24"/>
        </w:rPr>
        <w:t xml:space="preserve">need to </w:t>
      </w:r>
      <w:r>
        <w:rPr>
          <w:rFonts w:cs="Times New Roman"/>
          <w:szCs w:val="24"/>
        </w:rPr>
        <w:t xml:space="preserve">specify are </w:t>
      </w:r>
      <w:r w:rsidRPr="00165F7F">
        <w:rPr>
          <w:rFonts w:cs="Times New Roman"/>
          <w:i/>
          <w:szCs w:val="24"/>
        </w:rPr>
        <w:t>PovertyRate</w:t>
      </w:r>
      <w:r>
        <w:rPr>
          <w:rFonts w:cs="Times New Roman"/>
          <w:szCs w:val="24"/>
        </w:rPr>
        <w:t xml:space="preserve"> and </w:t>
      </w:r>
      <w:r w:rsidRPr="00165F7F">
        <w:rPr>
          <w:rFonts w:cs="Times New Roman"/>
          <w:i/>
          <w:szCs w:val="24"/>
        </w:rPr>
        <w:t>CashIncome</w:t>
      </w:r>
      <w:r>
        <w:rPr>
          <w:rFonts w:cs="Times New Roman"/>
          <w:szCs w:val="24"/>
        </w:rPr>
        <w:t xml:space="preserve">. </w:t>
      </w:r>
      <w:r w:rsidR="004003FC" w:rsidRPr="00165F7F">
        <w:rPr>
          <w:rFonts w:cs="Times New Roman"/>
          <w:i/>
          <w:szCs w:val="24"/>
        </w:rPr>
        <w:t>PovertyRate</w:t>
      </w:r>
      <w:r w:rsidR="004003FC" w:rsidRPr="00165F7F">
        <w:rPr>
          <w:rFonts w:cs="Times New Roman"/>
          <w:szCs w:val="24"/>
        </w:rPr>
        <w:t xml:space="preserve"> is used to </w:t>
      </w:r>
      <w:r w:rsidR="00F65A1D">
        <w:rPr>
          <w:rFonts w:cs="Times New Roman"/>
          <w:szCs w:val="24"/>
        </w:rPr>
        <w:t>identify</w:t>
      </w:r>
      <w:r w:rsidR="004003FC" w:rsidRPr="00165F7F">
        <w:rPr>
          <w:rFonts w:cs="Times New Roman"/>
          <w:szCs w:val="24"/>
        </w:rPr>
        <w:t xml:space="preserve"> the family poverty rate variable that is used </w:t>
      </w:r>
      <w:r>
        <w:rPr>
          <w:rFonts w:cs="Times New Roman"/>
          <w:szCs w:val="24"/>
        </w:rPr>
        <w:t>for the</w:t>
      </w:r>
      <w:r w:rsidR="004003FC" w:rsidRPr="00165F7F">
        <w:rPr>
          <w:rFonts w:cs="Times New Roman"/>
          <w:szCs w:val="24"/>
        </w:rPr>
        <w:t xml:space="preserve"> summary </w:t>
      </w:r>
      <w:r>
        <w:rPr>
          <w:rFonts w:cs="Times New Roman"/>
          <w:szCs w:val="24"/>
        </w:rPr>
        <w:t xml:space="preserve">tables, and </w:t>
      </w:r>
      <w:r w:rsidRPr="00165F7F">
        <w:rPr>
          <w:rFonts w:cs="Times New Roman"/>
          <w:i/>
          <w:szCs w:val="24"/>
        </w:rPr>
        <w:t>CashIncome</w:t>
      </w:r>
      <w:r>
        <w:rPr>
          <w:rFonts w:cs="Times New Roman"/>
          <w:szCs w:val="24"/>
        </w:rPr>
        <w:t xml:space="preserve"> hold</w:t>
      </w:r>
      <w:r w:rsidR="00835C1E">
        <w:rPr>
          <w:rFonts w:cs="Times New Roman"/>
          <w:szCs w:val="24"/>
        </w:rPr>
        <w:t>s the components of cash income used for the family income measure.  All rules in the “Simulation Selection” category are automatically filled by the SummaryTables interface when a user selects the simulations that are to be summarized.</w:t>
      </w:r>
    </w:p>
    <w:sectPr w:rsidR="004003FC" w:rsidRPr="0016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AC" w:rsidRDefault="006546AC" w:rsidP="005E3129">
      <w:r>
        <w:separator/>
      </w:r>
    </w:p>
  </w:endnote>
  <w:endnote w:type="continuationSeparator" w:id="0">
    <w:p w:rsidR="006546AC" w:rsidRDefault="006546AC" w:rsidP="005E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AC" w:rsidRDefault="006546AC" w:rsidP="005E3129">
      <w:r>
        <w:separator/>
      </w:r>
    </w:p>
  </w:footnote>
  <w:footnote w:type="continuationSeparator" w:id="0">
    <w:p w:rsidR="006546AC" w:rsidRDefault="006546AC" w:rsidP="005E3129">
      <w:r>
        <w:continuationSeparator/>
      </w:r>
    </w:p>
  </w:footnote>
  <w:footnote w:id="1">
    <w:p w:rsidR="005E3129" w:rsidRDefault="005E3129">
      <w:pPr>
        <w:pStyle w:val="FootnoteText"/>
      </w:pPr>
      <w:r>
        <w:rPr>
          <w:rStyle w:val="FootnoteReference"/>
        </w:rPr>
        <w:footnoteRef/>
      </w:r>
      <w:r>
        <w:t xml:space="preserve"> In narrowly defined families, related subfamilies are separate from primary families.</w:t>
      </w:r>
    </w:p>
  </w:footnote>
  <w:footnote w:id="2">
    <w:p w:rsidR="005E3129" w:rsidRDefault="005E3129">
      <w:pPr>
        <w:pStyle w:val="FootnoteText"/>
      </w:pPr>
      <w:r>
        <w:rPr>
          <w:rStyle w:val="FootnoteReference"/>
        </w:rPr>
        <w:footnoteRef/>
      </w:r>
      <w:r>
        <w:t xml:space="preserve"> In broadly defined families, related subfamilies are combined with primary families and treated as a single family unit.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A6"/>
    <w:rsid w:val="0001478E"/>
    <w:rsid w:val="000A3067"/>
    <w:rsid w:val="001330AC"/>
    <w:rsid w:val="00145EB0"/>
    <w:rsid w:val="00164057"/>
    <w:rsid w:val="00165F7F"/>
    <w:rsid w:val="0027046C"/>
    <w:rsid w:val="002E284E"/>
    <w:rsid w:val="003609A6"/>
    <w:rsid w:val="00381C75"/>
    <w:rsid w:val="00382440"/>
    <w:rsid w:val="004003FC"/>
    <w:rsid w:val="00413CEE"/>
    <w:rsid w:val="00452B2E"/>
    <w:rsid w:val="0049762B"/>
    <w:rsid w:val="004B3600"/>
    <w:rsid w:val="00505487"/>
    <w:rsid w:val="005142C3"/>
    <w:rsid w:val="00527808"/>
    <w:rsid w:val="00530CD6"/>
    <w:rsid w:val="005978DD"/>
    <w:rsid w:val="005E3129"/>
    <w:rsid w:val="005E3D50"/>
    <w:rsid w:val="006546AC"/>
    <w:rsid w:val="006974AC"/>
    <w:rsid w:val="007208E6"/>
    <w:rsid w:val="00761C48"/>
    <w:rsid w:val="00786FEF"/>
    <w:rsid w:val="007D7518"/>
    <w:rsid w:val="007E6391"/>
    <w:rsid w:val="007F133A"/>
    <w:rsid w:val="008023E0"/>
    <w:rsid w:val="00807F57"/>
    <w:rsid w:val="00825369"/>
    <w:rsid w:val="00835C1E"/>
    <w:rsid w:val="00866F3A"/>
    <w:rsid w:val="008C7749"/>
    <w:rsid w:val="008D3E59"/>
    <w:rsid w:val="008F79E3"/>
    <w:rsid w:val="00933CF8"/>
    <w:rsid w:val="00937474"/>
    <w:rsid w:val="00943DE0"/>
    <w:rsid w:val="00960339"/>
    <w:rsid w:val="009D169B"/>
    <w:rsid w:val="00A11B4C"/>
    <w:rsid w:val="00A86478"/>
    <w:rsid w:val="00A87747"/>
    <w:rsid w:val="00AD2152"/>
    <w:rsid w:val="00AF5306"/>
    <w:rsid w:val="00BC4932"/>
    <w:rsid w:val="00C105D8"/>
    <w:rsid w:val="00C177D4"/>
    <w:rsid w:val="00C37F69"/>
    <w:rsid w:val="00C6161E"/>
    <w:rsid w:val="00C638D9"/>
    <w:rsid w:val="00DF4583"/>
    <w:rsid w:val="00E15265"/>
    <w:rsid w:val="00EF0E41"/>
    <w:rsid w:val="00EF766B"/>
    <w:rsid w:val="00F13830"/>
    <w:rsid w:val="00F547BA"/>
    <w:rsid w:val="00F65A1D"/>
    <w:rsid w:val="00F84C86"/>
    <w:rsid w:val="00F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236"/>
  <w15:docId w15:val="{2D1E4303-C914-434B-AC53-8BF4E964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3D5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F0E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25369"/>
    <w:rPr>
      <w:color w:val="0000FF" w:themeColor="hyperlink"/>
      <w:u w:val="single"/>
    </w:rPr>
  </w:style>
  <w:style w:type="paragraph" w:customStyle="1" w:styleId="InSs">
    <w:name w:val="InSs"/>
    <w:basedOn w:val="Normal"/>
    <w:rsid w:val="00E15265"/>
    <w:pPr>
      <w:spacing w:after="240"/>
      <w:ind w:firstLine="72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6FE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1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12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3129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CEE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13C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EA05-46B5-4311-9F64-4AE49CCD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Morton, Joyce</dc:creator>
  <cp:lastModifiedBy>Morton, Joyce</cp:lastModifiedBy>
  <cp:revision>34</cp:revision>
  <cp:lastPrinted>2017-07-06T15:02:00Z</cp:lastPrinted>
  <dcterms:created xsi:type="dcterms:W3CDTF">2017-01-04T19:49:00Z</dcterms:created>
  <dcterms:modified xsi:type="dcterms:W3CDTF">2017-08-03T16:27:00Z</dcterms:modified>
</cp:coreProperties>
</file>